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D8" w:rsidRDefault="00CD10D8" w:rsidP="00CD10D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4. Краткая презентация основной образовательной программы</w:t>
      </w:r>
    </w:p>
    <w:p w:rsidR="00CD10D8" w:rsidRDefault="00CD10D8" w:rsidP="00CD10D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дошкольного образования МБДОУ ДС КВ № 34 </w:t>
      </w:r>
      <w:proofErr w:type="spellStart"/>
      <w:r>
        <w:rPr>
          <w:b/>
          <w:lang w:eastAsia="ru-RU"/>
        </w:rPr>
        <w:t>пгт</w:t>
      </w:r>
      <w:proofErr w:type="spellEnd"/>
      <w:r>
        <w:rPr>
          <w:b/>
          <w:lang w:eastAsia="ru-RU"/>
        </w:rPr>
        <w:t xml:space="preserve"> Афипского МО Северский район (ООП </w:t>
      </w:r>
      <w:proofErr w:type="gramStart"/>
      <w:r>
        <w:rPr>
          <w:b/>
          <w:lang w:eastAsia="ru-RU"/>
        </w:rPr>
        <w:t>ДО</w:t>
      </w:r>
      <w:proofErr w:type="gramEnd"/>
      <w:r>
        <w:rPr>
          <w:b/>
          <w:lang w:eastAsia="ru-RU"/>
        </w:rPr>
        <w:t>)</w:t>
      </w:r>
    </w:p>
    <w:p w:rsidR="00CD10D8" w:rsidRDefault="00CD10D8" w:rsidP="00CD10D8">
      <w:pPr>
        <w:suppressAutoHyphens w:val="0"/>
        <w:rPr>
          <w:b/>
          <w:lang w:eastAsia="ru-RU"/>
        </w:rPr>
      </w:pPr>
    </w:p>
    <w:p w:rsidR="00CD10D8" w:rsidRDefault="00CD10D8" w:rsidP="00CD10D8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4.1. Возрастные и иные категории детей, на которых ориентирована Программа Организации</w:t>
      </w:r>
    </w:p>
    <w:p w:rsidR="00CD10D8" w:rsidRDefault="00CD10D8" w:rsidP="00CD10D8">
      <w:pPr>
        <w:suppressAutoHyphens w:val="0"/>
        <w:jc w:val="center"/>
        <w:rPr>
          <w:rFonts w:eastAsia="Calibri"/>
          <w:b/>
          <w:lang w:eastAsia="en-US"/>
        </w:rPr>
      </w:pPr>
    </w:p>
    <w:p w:rsidR="00CD10D8" w:rsidRDefault="00CD10D8" w:rsidP="00CD10D8">
      <w:pPr>
        <w:suppressAutoHyphens w:val="0"/>
        <w:jc w:val="both"/>
      </w:pPr>
      <w:r>
        <w:rPr>
          <w:rFonts w:eastAsia="Calibri"/>
          <w:lang w:eastAsia="en-US"/>
        </w:rPr>
        <w:t xml:space="preserve">                </w:t>
      </w:r>
      <w:r>
        <w:t xml:space="preserve">Полное наименование  учреждения: муниципальное бюджетное дошкольное образовательное учреждение  детский сад комбинированного вида №34 </w:t>
      </w:r>
      <w:proofErr w:type="spellStart"/>
      <w:r>
        <w:t>пгт</w:t>
      </w:r>
      <w:proofErr w:type="spellEnd"/>
      <w:r>
        <w:t xml:space="preserve"> Афипского муниципального образования Северский район</w:t>
      </w:r>
      <w:proofErr w:type="gramStart"/>
      <w:r>
        <w:t xml:space="preserve"> .</w:t>
      </w:r>
      <w:proofErr w:type="gramEnd"/>
    </w:p>
    <w:p w:rsidR="00CD10D8" w:rsidRDefault="00CD10D8" w:rsidP="00CD10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бюджетного учреждения: МБДОУ ДС КВ №3 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Афипского МО Северский район.</w:t>
      </w:r>
    </w:p>
    <w:p w:rsidR="00CD10D8" w:rsidRDefault="00CD10D8" w:rsidP="00CD10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– дошкольное образовательное учреждение</w:t>
      </w:r>
    </w:p>
    <w:p w:rsidR="00CD10D8" w:rsidRDefault="00CD10D8" w:rsidP="00CD10D8">
      <w:pPr>
        <w:pStyle w:val="ConsPlusNonformat"/>
        <w:widowControl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353236, Россия, Краснодарский край, Северский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Афипский, ул. Победы, дом 11 </w:t>
      </w:r>
    </w:p>
    <w:p w:rsidR="00CD10D8" w:rsidRDefault="00CD10D8" w:rsidP="00CD10D8">
      <w:pPr>
        <w:pStyle w:val="ConsPlusNonformat"/>
        <w:widowControl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Почтовый адрес: 3533236, Россия, Краснодарский край, Северский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Афипский, ул. Победы, дом 11 </w:t>
      </w:r>
    </w:p>
    <w:p w:rsidR="00CD10D8" w:rsidRDefault="0070725B" w:rsidP="00CD10D8">
      <w:pPr>
        <w:ind w:firstLine="708"/>
        <w:rPr>
          <w:bCs/>
        </w:rPr>
      </w:pPr>
      <w:r>
        <w:rPr>
          <w:bCs/>
        </w:rPr>
        <w:t>ДОУ</w:t>
      </w:r>
      <w:r w:rsidR="00CD10D8">
        <w:rPr>
          <w:bCs/>
        </w:rPr>
        <w:t xml:space="preserve">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CD10D8" w:rsidRDefault="00CD10D8" w:rsidP="00CD10D8">
      <w:pPr>
        <w:rPr>
          <w:bCs/>
        </w:rPr>
      </w:pPr>
      <w:r>
        <w:rPr>
          <w:bCs/>
        </w:rPr>
        <w:t xml:space="preserve">-  Устав МБДОУ ДС КВ № 34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 Афипского МО Северский район  </w:t>
      </w:r>
    </w:p>
    <w:p w:rsidR="00CD10D8" w:rsidRDefault="00CD10D8" w:rsidP="00CD10D8">
      <w:pPr>
        <w:jc w:val="both"/>
        <w:rPr>
          <w:bCs/>
        </w:rPr>
      </w:pPr>
      <w:r>
        <w:rPr>
          <w:bCs/>
        </w:rPr>
        <w:t>- Лицензия на осуществление образовательной деятельности № 02682 от 24.08.2011г</w:t>
      </w:r>
    </w:p>
    <w:p w:rsidR="00CD10D8" w:rsidRDefault="00CD10D8" w:rsidP="00CD10D8">
      <w:pPr>
        <w:jc w:val="both"/>
        <w:rPr>
          <w:bCs/>
        </w:rPr>
      </w:pPr>
      <w:r>
        <w:rPr>
          <w:bCs/>
        </w:rPr>
        <w:t xml:space="preserve">- Лицензия </w:t>
      </w:r>
      <w:proofErr w:type="gramStart"/>
      <w:r>
        <w:rPr>
          <w:bCs/>
        </w:rPr>
        <w:t>на право осуществление</w:t>
      </w:r>
      <w:proofErr w:type="gramEnd"/>
      <w:r>
        <w:rPr>
          <w:bCs/>
        </w:rPr>
        <w:t xml:space="preserve"> медицинской деятельности № ЛО-23-01-006619 от 27.11.2013г</w:t>
      </w:r>
    </w:p>
    <w:p w:rsidR="00CD10D8" w:rsidRDefault="00CD10D8" w:rsidP="00CD10D8">
      <w:pPr>
        <w:rPr>
          <w:bCs/>
        </w:rPr>
      </w:pPr>
      <w:r>
        <w:rPr>
          <w:bCs/>
        </w:rPr>
        <w:t xml:space="preserve">Образовательная деятельность МБДОУ ДС КВ № 34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 Афипского МО Северский район осуществляется в два периода:</w:t>
      </w:r>
    </w:p>
    <w:p w:rsidR="00CD10D8" w:rsidRDefault="00CD10D8" w:rsidP="00CD10D8">
      <w:pPr>
        <w:numPr>
          <w:ilvl w:val="0"/>
          <w:numId w:val="1"/>
        </w:numPr>
        <w:jc w:val="both"/>
        <w:rPr>
          <w:bCs/>
        </w:rPr>
      </w:pPr>
      <w:r>
        <w:rPr>
          <w:bCs/>
          <w:lang w:val="en-US"/>
        </w:rPr>
        <w:t>I</w:t>
      </w:r>
      <w:r>
        <w:rPr>
          <w:bCs/>
        </w:rPr>
        <w:t xml:space="preserve"> период  с 1 сентября по 31 мая;</w:t>
      </w:r>
    </w:p>
    <w:p w:rsidR="00CD10D8" w:rsidRDefault="00CD10D8" w:rsidP="00CD10D8">
      <w:pPr>
        <w:numPr>
          <w:ilvl w:val="0"/>
          <w:numId w:val="1"/>
        </w:numPr>
        <w:jc w:val="both"/>
        <w:rPr>
          <w:bCs/>
        </w:rPr>
      </w:pPr>
      <w:r>
        <w:rPr>
          <w:bCs/>
          <w:lang w:val="en-US"/>
        </w:rPr>
        <w:t>II</w:t>
      </w:r>
      <w:r>
        <w:rPr>
          <w:bCs/>
        </w:rPr>
        <w:t xml:space="preserve"> период </w:t>
      </w:r>
      <w:proofErr w:type="spellStart"/>
      <w:r>
        <w:rPr>
          <w:bCs/>
        </w:rPr>
        <w:t>летне</w:t>
      </w:r>
      <w:proofErr w:type="spellEnd"/>
      <w:r>
        <w:rPr>
          <w:bCs/>
        </w:rPr>
        <w:t xml:space="preserve"> – оздоровительный период с 1 июня по 31 августа.</w:t>
      </w:r>
    </w:p>
    <w:p w:rsidR="00CD10D8" w:rsidRDefault="0070725B" w:rsidP="00CD10D8">
      <w:pPr>
        <w:ind w:firstLine="708"/>
      </w:pPr>
      <w:proofErr w:type="gramStart"/>
      <w:r>
        <w:t>Цель и задачи деятельности ДОУ</w:t>
      </w:r>
      <w:r w:rsidR="00CD10D8">
        <w:t xml:space="preserve"> по реализации основной образовательной программы определяются ФГОС дошкольного образования, Уста</w:t>
      </w:r>
      <w:r>
        <w:t xml:space="preserve">ва </w:t>
      </w:r>
      <w:r w:rsidR="00CD10D8">
        <w:t xml:space="preserve">ДОУ, реализуемой примерной  программы «ОТ РОЖДЕНИЯ ДО ШКОЛЫ» под редакцией Н.Е. </w:t>
      </w:r>
      <w:proofErr w:type="spellStart"/>
      <w:r w:rsidR="00CD10D8">
        <w:t>Вераксы</w:t>
      </w:r>
      <w:proofErr w:type="spellEnd"/>
      <w:r w:rsidR="00CD10D8">
        <w:t>, Т.С. Комаровой, М.А. Васильевой, развития дошкольников с учетом регионального компонента,  на основе анализа результатов предшествующей педа</w:t>
      </w:r>
      <w:r w:rsidR="00CD10D8"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  <w:proofErr w:type="gramEnd"/>
    </w:p>
    <w:p w:rsidR="00CD10D8" w:rsidRDefault="00CD10D8" w:rsidP="00CD10D8">
      <w:pPr>
        <w:autoSpaceDE w:val="0"/>
      </w:pPr>
      <w:r>
        <w:t xml:space="preserve">         </w:t>
      </w:r>
      <w:proofErr w:type="gramStart"/>
      <w:r>
        <w:t>Цель реализации основной образовательной программы  дошкольного  образования в соответствии с ФГОС дошкольного образования: — создание благоприятных условий для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 предпосылок к учебной деятельности, обеспечение безопасности жизнедеятельности дошкольника.</w:t>
      </w:r>
      <w:proofErr w:type="gramEnd"/>
    </w:p>
    <w:p w:rsidR="00CD10D8" w:rsidRDefault="0070725B" w:rsidP="00CD10D8">
      <w:pPr>
        <w:autoSpaceDE w:val="0"/>
      </w:pPr>
      <w:r>
        <w:t>В саду воспитывается 536</w:t>
      </w:r>
      <w:r w:rsidR="00CD10D8">
        <w:t xml:space="preserve"> детей:</w:t>
      </w:r>
    </w:p>
    <w:p w:rsidR="00CD10D8" w:rsidRDefault="00CD10D8" w:rsidP="00CD10D8">
      <w:pPr>
        <w:spacing w:after="5" w:line="266" w:lineRule="auto"/>
        <w:ind w:left="-5"/>
      </w:pPr>
      <w:proofErr w:type="spellStart"/>
      <w:r>
        <w:rPr>
          <w:b/>
        </w:rPr>
        <w:t>Общеразвивающие</w:t>
      </w:r>
      <w:proofErr w:type="spellEnd"/>
      <w:r>
        <w:rPr>
          <w:b/>
        </w:rPr>
        <w:t xml:space="preserve">  группы  - 18: </w:t>
      </w:r>
    </w:p>
    <w:p w:rsidR="00CD10D8" w:rsidRDefault="00F06301" w:rsidP="00CD10D8">
      <w:pPr>
        <w:numPr>
          <w:ilvl w:val="0"/>
          <w:numId w:val="2"/>
        </w:numPr>
        <w:suppressAutoHyphens w:val="0"/>
        <w:spacing w:after="10" w:line="264" w:lineRule="auto"/>
        <w:ind w:right="8" w:hanging="706"/>
        <w:jc w:val="both"/>
      </w:pPr>
      <w:r>
        <w:t xml:space="preserve">Вторая младшая группа № 3/1,3/2,5/1,5/2,7/1,7/2                          </w:t>
      </w:r>
      <w:r w:rsidR="00CD10D8">
        <w:t xml:space="preserve">       дети 3-4 лет; </w:t>
      </w:r>
    </w:p>
    <w:p w:rsidR="00CD10D8" w:rsidRDefault="00F06301" w:rsidP="00CD10D8">
      <w:pPr>
        <w:numPr>
          <w:ilvl w:val="0"/>
          <w:numId w:val="2"/>
        </w:numPr>
        <w:suppressAutoHyphens w:val="0"/>
        <w:spacing w:after="10" w:line="264" w:lineRule="auto"/>
        <w:ind w:right="8" w:hanging="706"/>
        <w:jc w:val="both"/>
      </w:pPr>
      <w:r>
        <w:t>Средняя группа  №№ 8/1,8</w:t>
      </w:r>
      <w:r w:rsidR="00CD10D8">
        <w:t>/2, 2/1,2/2,</w:t>
      </w:r>
      <w:r>
        <w:t xml:space="preserve">            </w:t>
      </w:r>
      <w:r w:rsidR="00CD10D8">
        <w:t xml:space="preserve">                                        дети 4-5 лет; </w:t>
      </w:r>
    </w:p>
    <w:p w:rsidR="00CD10D8" w:rsidRDefault="00F06301" w:rsidP="00CD10D8">
      <w:pPr>
        <w:numPr>
          <w:ilvl w:val="0"/>
          <w:numId w:val="2"/>
        </w:numPr>
        <w:suppressAutoHyphens w:val="0"/>
        <w:spacing w:after="10" w:line="264" w:lineRule="auto"/>
        <w:ind w:right="8" w:hanging="706"/>
        <w:jc w:val="both"/>
      </w:pPr>
      <w:r>
        <w:t>Старшая группа  №№ 1/1,1</w:t>
      </w:r>
      <w:r w:rsidR="00CD10D8">
        <w:t>/2,</w:t>
      </w:r>
      <w:r>
        <w:t xml:space="preserve">            </w:t>
      </w:r>
      <w:r w:rsidR="00CD10D8">
        <w:t xml:space="preserve">                                                     дети 5-6 лет </w:t>
      </w:r>
    </w:p>
    <w:p w:rsidR="00CD10D8" w:rsidRDefault="00CD10D8" w:rsidP="00CD10D8">
      <w:pPr>
        <w:numPr>
          <w:ilvl w:val="0"/>
          <w:numId w:val="2"/>
        </w:numPr>
        <w:suppressAutoHyphens w:val="0"/>
        <w:spacing w:after="10" w:line="264" w:lineRule="auto"/>
        <w:ind w:right="8" w:hanging="706"/>
        <w:jc w:val="both"/>
      </w:pPr>
      <w:r>
        <w:t>Подг</w:t>
      </w:r>
      <w:r w:rsidR="00F06301">
        <w:t>отовительная к школе группа №№ 4</w:t>
      </w:r>
      <w:r>
        <w:t>/1,</w:t>
      </w:r>
      <w:r w:rsidR="00F06301">
        <w:t>4/2, 9/1,9</w:t>
      </w:r>
      <w:r>
        <w:t xml:space="preserve">/2, </w:t>
      </w:r>
      <w:r w:rsidR="00F06301">
        <w:t xml:space="preserve">                     </w:t>
      </w:r>
      <w:r>
        <w:t>дети 6-7 лет</w:t>
      </w:r>
    </w:p>
    <w:p w:rsidR="00CD10D8" w:rsidRDefault="00CD10D8" w:rsidP="00CD10D8">
      <w:pPr>
        <w:ind w:right="8"/>
        <w:rPr>
          <w:b/>
        </w:rPr>
      </w:pPr>
      <w:r>
        <w:rPr>
          <w:b/>
        </w:rPr>
        <w:t>Группы компенсирующего вида- 6:</w:t>
      </w:r>
    </w:p>
    <w:p w:rsidR="00CD10D8" w:rsidRDefault="00CD10D8" w:rsidP="00CD10D8">
      <w:pPr>
        <w:numPr>
          <w:ilvl w:val="0"/>
          <w:numId w:val="2"/>
        </w:numPr>
        <w:suppressAutoHyphens w:val="0"/>
        <w:spacing w:after="4" w:line="276" w:lineRule="auto"/>
        <w:ind w:right="8" w:hanging="706"/>
        <w:jc w:val="both"/>
      </w:pPr>
      <w:r>
        <w:t xml:space="preserve">Старшая группа КВ №№ </w:t>
      </w:r>
      <w:r w:rsidR="00F06301">
        <w:t>10,</w:t>
      </w:r>
      <w:r>
        <w:t>1</w:t>
      </w:r>
      <w:r w:rsidR="00F06301">
        <w:t>1,12</w:t>
      </w:r>
      <w:r>
        <w:t xml:space="preserve">         </w:t>
      </w:r>
      <w:r w:rsidR="00F06301">
        <w:t xml:space="preserve">         </w:t>
      </w:r>
      <w:r>
        <w:t xml:space="preserve">                                       дети 5-6 лет</w:t>
      </w:r>
    </w:p>
    <w:p w:rsidR="00CD10D8" w:rsidRDefault="00CD10D8" w:rsidP="00CD10D8">
      <w:pPr>
        <w:numPr>
          <w:ilvl w:val="0"/>
          <w:numId w:val="2"/>
        </w:numPr>
        <w:suppressAutoHyphens w:val="0"/>
        <w:spacing w:after="10" w:line="264" w:lineRule="auto"/>
        <w:ind w:right="8" w:hanging="706"/>
        <w:jc w:val="both"/>
      </w:pPr>
      <w:r>
        <w:t>Подготов</w:t>
      </w:r>
      <w:r w:rsidR="00F06301">
        <w:t xml:space="preserve">ительная к школе группа КН №№ 13.14,15.                  </w:t>
      </w:r>
      <w:r>
        <w:t xml:space="preserve">      дети 6-7 лет</w:t>
      </w:r>
    </w:p>
    <w:p w:rsidR="00CD10D8" w:rsidRDefault="00CD10D8" w:rsidP="00CD10D8">
      <w:pPr>
        <w:suppressAutoHyphens w:val="0"/>
        <w:spacing w:after="10" w:line="264" w:lineRule="auto"/>
        <w:ind w:right="8"/>
        <w:jc w:val="both"/>
      </w:pPr>
    </w:p>
    <w:p w:rsidR="00CD10D8" w:rsidRDefault="00CD10D8" w:rsidP="00CD10D8">
      <w:pPr>
        <w:numPr>
          <w:ilvl w:val="0"/>
          <w:numId w:val="2"/>
        </w:numPr>
        <w:suppressAutoHyphens w:val="0"/>
        <w:spacing w:after="10" w:line="264" w:lineRule="auto"/>
        <w:ind w:right="8" w:hanging="706"/>
      </w:pPr>
      <w:r>
        <w:rPr>
          <w:b/>
        </w:rPr>
        <w:lastRenderedPageBreak/>
        <w:t>Кадровый  потенциал</w:t>
      </w:r>
    </w:p>
    <w:p w:rsidR="00CD10D8" w:rsidRDefault="00CD10D8" w:rsidP="00CD10D8">
      <w:pPr>
        <w:ind w:firstLine="720"/>
        <w:rPr>
          <w:b/>
        </w:rPr>
      </w:pPr>
      <w:r>
        <w:t>Детский сад  полностью (100%) укомплектован кадрами. Коллектив МБДОУ ДС КВ №</w:t>
      </w:r>
      <w:r w:rsidR="0070725B">
        <w:t xml:space="preserve"> 34 </w:t>
      </w:r>
      <w:proofErr w:type="spellStart"/>
      <w:r w:rsidR="0070725B">
        <w:t>пгт</w:t>
      </w:r>
      <w:proofErr w:type="spellEnd"/>
      <w:r w:rsidR="0070725B">
        <w:t xml:space="preserve"> Афипского  составляет 88</w:t>
      </w:r>
      <w:r>
        <w:t xml:space="preserve"> человек.  Воспитательно-образовательную работу осуществляют 42 педагога:  из них 32 воспитателей и 10 специалистов: 3 музыкальных руково</w:t>
      </w:r>
      <w:r w:rsidR="00F06301">
        <w:t>дителя, 6 учителей-логопедов,  2 педагог- психолог,1 учитель-дефектолог</w:t>
      </w:r>
    </w:p>
    <w:p w:rsidR="00CD10D8" w:rsidRDefault="00CD10D8" w:rsidP="00CD10D8">
      <w:pPr>
        <w:ind w:left="-5" w:right="8"/>
      </w:pPr>
      <w:r>
        <w:t xml:space="preserve">В ДОУ  функционируют группы: </w:t>
      </w:r>
    </w:p>
    <w:p w:rsidR="00CD10D8" w:rsidRDefault="00CD10D8" w:rsidP="00CD10D8">
      <w:pPr>
        <w:numPr>
          <w:ilvl w:val="0"/>
          <w:numId w:val="3"/>
        </w:numPr>
        <w:suppressAutoHyphens w:val="0"/>
        <w:spacing w:after="10" w:line="264" w:lineRule="auto"/>
        <w:ind w:right="8" w:hanging="187"/>
        <w:jc w:val="both"/>
      </w:pPr>
      <w:proofErr w:type="spellStart"/>
      <w:r>
        <w:t>общеразвивающей</w:t>
      </w:r>
      <w:proofErr w:type="spellEnd"/>
      <w:r>
        <w:t xml:space="preserve"> направленности; </w:t>
      </w:r>
    </w:p>
    <w:p w:rsidR="00CD10D8" w:rsidRDefault="00CD10D8" w:rsidP="00CD10D8">
      <w:pPr>
        <w:numPr>
          <w:ilvl w:val="0"/>
          <w:numId w:val="3"/>
        </w:numPr>
        <w:suppressAutoHyphens w:val="0"/>
        <w:spacing w:after="10" w:line="264" w:lineRule="auto"/>
        <w:ind w:right="8" w:hanging="187"/>
        <w:jc w:val="both"/>
      </w:pPr>
      <w:r>
        <w:t xml:space="preserve">компенсирующей направленности (логопедические группы) </w:t>
      </w:r>
    </w:p>
    <w:p w:rsidR="00CD10D8" w:rsidRDefault="00CD10D8" w:rsidP="00CD10D8">
      <w:pPr>
        <w:tabs>
          <w:tab w:val="center" w:pos="3243"/>
        </w:tabs>
        <w:ind w:left="-15"/>
      </w:pPr>
      <w:r>
        <w:tab/>
        <w:t xml:space="preserve">В ДОО активно реализуются вариативные формы </w:t>
      </w:r>
      <w:proofErr w:type="gramStart"/>
      <w:r>
        <w:t>ДО</w:t>
      </w:r>
      <w:proofErr w:type="gramEnd"/>
      <w:r>
        <w:t xml:space="preserve">: </w:t>
      </w:r>
    </w:p>
    <w:p w:rsidR="00CD10D8" w:rsidRDefault="00CD10D8" w:rsidP="00CD10D8">
      <w:pPr>
        <w:numPr>
          <w:ilvl w:val="0"/>
          <w:numId w:val="3"/>
        </w:numPr>
        <w:suppressAutoHyphens w:val="0"/>
        <w:spacing w:after="10" w:line="264" w:lineRule="auto"/>
        <w:ind w:right="8" w:hanging="187"/>
        <w:jc w:val="both"/>
      </w:pPr>
      <w:r>
        <w:t xml:space="preserve">консультационный центр для родителей </w:t>
      </w:r>
    </w:p>
    <w:p w:rsidR="00CD10D8" w:rsidRDefault="00CD10D8" w:rsidP="00CD10D8">
      <w:pPr>
        <w:spacing w:after="5" w:line="266" w:lineRule="auto"/>
        <w:ind w:left="-5"/>
        <w:jc w:val="center"/>
        <w:rPr>
          <w:b/>
        </w:rPr>
      </w:pPr>
      <w:r>
        <w:rPr>
          <w:b/>
        </w:rPr>
        <w:t>4.2   Используемые педагогические технологии и программы</w:t>
      </w:r>
    </w:p>
    <w:p w:rsidR="00CD10D8" w:rsidRDefault="00CD10D8" w:rsidP="00CD10D8">
      <w:pPr>
        <w:spacing w:after="5" w:line="266" w:lineRule="auto"/>
        <w:ind w:left="-5"/>
        <w:rPr>
          <w:rFonts w:eastAsia="Calibri"/>
          <w:lang w:eastAsia="en-US"/>
        </w:rPr>
      </w:pPr>
      <w:r>
        <w:t xml:space="preserve">Образовательная программа разработана в соответствии с ФГОС дошкольного образования и с учетом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 – М.: МОЗАИКА-СИНТЕЗ, 2014 , а также следующих парциальных программ.</w:t>
      </w:r>
    </w:p>
    <w:p w:rsidR="00CD10D8" w:rsidRDefault="00CD10D8" w:rsidP="00CD10D8">
      <w:pPr>
        <w:shd w:val="clear" w:color="auto" w:fill="FFFFFF"/>
        <w:rPr>
          <w:shd w:val="clear" w:color="auto" w:fill="FFFFFF"/>
        </w:rPr>
      </w:pPr>
      <w:r>
        <w:rPr>
          <w:bCs/>
          <w:iCs/>
        </w:rPr>
        <w:t>.</w:t>
      </w:r>
      <w:r>
        <w:rPr>
          <w:rStyle w:val="apple-converted-space"/>
          <w:shd w:val="clear" w:color="auto" w:fill="FFFFFF"/>
        </w:rPr>
        <w:t> </w:t>
      </w:r>
    </w:p>
    <w:p w:rsidR="00CD10D8" w:rsidRDefault="00CD10D8" w:rsidP="00CD10D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Используются педагогические технологии: </w:t>
      </w:r>
    </w:p>
    <w:p w:rsidR="00CD10D8" w:rsidRDefault="00CD10D8" w:rsidP="00CD10D8">
      <w:pPr>
        <w:rPr>
          <w:i/>
        </w:rPr>
      </w:pPr>
      <w:r>
        <w:rPr>
          <w:i/>
        </w:rPr>
        <w:t xml:space="preserve">Парциальная программа «Безопасность» Авдеева Н.Н., Князева О.Л., </w:t>
      </w:r>
      <w:proofErr w:type="spellStart"/>
      <w:r>
        <w:rPr>
          <w:i/>
        </w:rPr>
        <w:t>Стеркина</w:t>
      </w:r>
      <w:proofErr w:type="spellEnd"/>
      <w:r>
        <w:rPr>
          <w:i/>
        </w:rPr>
        <w:t xml:space="preserve"> Р.Б. </w:t>
      </w:r>
    </w:p>
    <w:p w:rsidR="00CD10D8" w:rsidRDefault="00CD10D8" w:rsidP="00CD10D8">
      <w:pPr>
        <w:rPr>
          <w:i/>
        </w:rPr>
      </w:pPr>
      <w:r>
        <w:rPr>
          <w:i/>
        </w:rPr>
        <w:t>Парциальная программа «Дорогою добра», Л.В. Коломийченко</w:t>
      </w:r>
    </w:p>
    <w:p w:rsidR="00CD10D8" w:rsidRDefault="00CD10D8" w:rsidP="00CD10D8">
      <w:pPr>
        <w:rPr>
          <w:i/>
        </w:rPr>
      </w:pPr>
      <w:r>
        <w:rPr>
          <w:i/>
        </w:rPr>
        <w:t>Региональная образовательная программа «Всё про то, как мы живём»</w:t>
      </w:r>
    </w:p>
    <w:p w:rsidR="00CD10D8" w:rsidRDefault="00CD10D8" w:rsidP="00CD10D8">
      <w:pPr>
        <w:rPr>
          <w:i/>
        </w:rPr>
      </w:pPr>
      <w:r>
        <w:rPr>
          <w:i/>
        </w:rPr>
        <w:t xml:space="preserve">Парциальная программа «Юный эколог» С.Н. Николаева </w:t>
      </w:r>
    </w:p>
    <w:p w:rsidR="00CD10D8" w:rsidRDefault="00CD10D8" w:rsidP="00CD10D8">
      <w:pPr>
        <w:rPr>
          <w:i/>
        </w:rPr>
      </w:pPr>
      <w:r>
        <w:rPr>
          <w:i/>
        </w:rPr>
        <w:t>Парциальная программа «Шаг  в  искусство» С.В.  Погодина</w:t>
      </w:r>
    </w:p>
    <w:p w:rsidR="00CD10D8" w:rsidRDefault="00CD10D8" w:rsidP="00CD10D8">
      <w:pPr>
        <w:rPr>
          <w:i/>
        </w:rPr>
      </w:pPr>
      <w:r>
        <w:rPr>
          <w:i/>
        </w:rPr>
        <w:t xml:space="preserve">Программа художественного воспитания, обучения и развития детей 2-7 лет «Цветные ладошки» Лыкова И.А.  </w:t>
      </w:r>
    </w:p>
    <w:p w:rsidR="00CD10D8" w:rsidRDefault="00CD10D8" w:rsidP="00CD10D8">
      <w:pPr>
        <w:rPr>
          <w:i/>
        </w:rPr>
      </w:pPr>
      <w:r>
        <w:rPr>
          <w:i/>
        </w:rPr>
        <w:t xml:space="preserve">Парциальная программа  по музыкальному  воспитанию «Ладушки» </w:t>
      </w:r>
      <w:proofErr w:type="spellStart"/>
      <w:r>
        <w:rPr>
          <w:i/>
        </w:rPr>
        <w:t>Каплунова</w:t>
      </w:r>
      <w:proofErr w:type="spellEnd"/>
      <w:r>
        <w:rPr>
          <w:i/>
        </w:rPr>
        <w:t xml:space="preserve"> И.М., </w:t>
      </w:r>
      <w:proofErr w:type="spellStart"/>
      <w:r>
        <w:rPr>
          <w:i/>
        </w:rPr>
        <w:t>Новоскольцева</w:t>
      </w:r>
      <w:proofErr w:type="spellEnd"/>
      <w:r>
        <w:rPr>
          <w:i/>
        </w:rPr>
        <w:t xml:space="preserve"> И.А.  </w:t>
      </w:r>
    </w:p>
    <w:p w:rsidR="00CD10D8" w:rsidRDefault="00CD10D8" w:rsidP="00CD10D8">
      <w:pPr>
        <w:rPr>
          <w:rFonts w:eastAsia="Calibri"/>
          <w:b/>
          <w:lang w:eastAsia="en-US"/>
        </w:rPr>
      </w:pPr>
    </w:p>
    <w:p w:rsidR="00CD10D8" w:rsidRDefault="00CD10D8" w:rsidP="00CD10D8">
      <w:pPr>
        <w:rPr>
          <w:rFonts w:eastAsia="Calibri"/>
          <w:b/>
          <w:lang w:eastAsia="en-US"/>
        </w:rPr>
      </w:pPr>
    </w:p>
    <w:p w:rsidR="00CD10D8" w:rsidRDefault="00CD10D8" w:rsidP="00CD10D8">
      <w:pPr>
        <w:pStyle w:val="4"/>
        <w:ind w:left="13" w:righ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  Характеристика взаимодействия педагогического коллектива с семьями детей </w:t>
      </w:r>
    </w:p>
    <w:p w:rsidR="00CD10D8" w:rsidRDefault="00CD10D8" w:rsidP="00CD10D8">
      <w:pPr>
        <w:ind w:left="-5" w:right="8"/>
      </w:pPr>
      <w:r>
        <w:t xml:space="preserve">Особенности взаимодействия педагогического коллектива и родителей воспитанников ДОУ характеризуются партнерскими отношениями. </w:t>
      </w:r>
    </w:p>
    <w:p w:rsidR="00CD10D8" w:rsidRDefault="00CD10D8" w:rsidP="00CD10D8">
      <w:pPr>
        <w:ind w:left="-5" w:right="782"/>
        <w:rPr>
          <w:rFonts w:ascii="Segoe UI Symbol" w:eastAsia="Segoe UI Symbol" w:hAnsi="Segoe UI Symbol" w:cs="Segoe UI Symbol"/>
        </w:rPr>
      </w:pPr>
      <w:r>
        <w:t xml:space="preserve"> В основу совместной деятельности семьи и дошкольного учреждения заложены следующие принципы: </w:t>
      </w:r>
    </w:p>
    <w:p w:rsidR="00CD10D8" w:rsidRDefault="00CD10D8" w:rsidP="00CD10D8">
      <w:pPr>
        <w:ind w:left="-5" w:right="782"/>
      </w:pPr>
      <w:r>
        <w:t xml:space="preserve">единый подход к процессу воспитания ребёнка; </w:t>
      </w:r>
    </w:p>
    <w:p w:rsidR="00CD10D8" w:rsidRDefault="00CD10D8" w:rsidP="00CD10D8">
      <w:pPr>
        <w:numPr>
          <w:ilvl w:val="0"/>
          <w:numId w:val="4"/>
        </w:numPr>
        <w:suppressAutoHyphens w:val="0"/>
        <w:spacing w:after="10" w:line="264" w:lineRule="auto"/>
        <w:ind w:right="8" w:hanging="706"/>
        <w:jc w:val="both"/>
      </w:pPr>
      <w:r>
        <w:t xml:space="preserve">открытость дошкольного учреждения для родителей; </w:t>
      </w:r>
    </w:p>
    <w:p w:rsidR="00CD10D8" w:rsidRDefault="00CD10D8" w:rsidP="00CD10D8">
      <w:pPr>
        <w:numPr>
          <w:ilvl w:val="0"/>
          <w:numId w:val="4"/>
        </w:numPr>
        <w:suppressAutoHyphens w:val="0"/>
        <w:spacing w:after="10" w:line="264" w:lineRule="auto"/>
        <w:ind w:right="8" w:hanging="706"/>
        <w:jc w:val="both"/>
      </w:pPr>
      <w:r>
        <w:t xml:space="preserve">взаимное доверие  во взаимоотношениях педагогов и родителей; </w:t>
      </w:r>
    </w:p>
    <w:p w:rsidR="00CD10D8" w:rsidRDefault="00CD10D8" w:rsidP="00CD10D8">
      <w:pPr>
        <w:numPr>
          <w:ilvl w:val="0"/>
          <w:numId w:val="4"/>
        </w:numPr>
        <w:suppressAutoHyphens w:val="0"/>
        <w:spacing w:after="10" w:line="264" w:lineRule="auto"/>
        <w:ind w:right="8" w:hanging="706"/>
        <w:jc w:val="both"/>
      </w:pPr>
      <w:r>
        <w:t xml:space="preserve">уважение и доброжелательность друг к другу; </w:t>
      </w:r>
    </w:p>
    <w:p w:rsidR="00CD10D8" w:rsidRDefault="00BA5BBE" w:rsidP="00CD10D8">
      <w:pPr>
        <w:numPr>
          <w:ilvl w:val="0"/>
          <w:numId w:val="4"/>
        </w:numPr>
        <w:suppressAutoHyphens w:val="0"/>
        <w:spacing w:after="10" w:line="264" w:lineRule="auto"/>
        <w:ind w:right="8" w:hanging="70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-42pt;width:.05pt;height:690.8pt;z-index:251658240;mso-wrap-distance-left:0;mso-wrap-distance-right:9.05pt;mso-position-horizontal-relative:margin" stroked="f">
            <v:fill opacity="0" color2="black"/>
            <v:textbox style="mso-next-textbox:#_x0000_s1026" inset="0,0,0,0">
              <w:txbxContent>
                <w:p w:rsidR="00CD10D8" w:rsidRDefault="00CD10D8" w:rsidP="00CD10D8"/>
              </w:txbxContent>
            </v:textbox>
            <w10:wrap type="square" anchorx="margin"/>
          </v:shape>
        </w:pict>
      </w:r>
      <w:r w:rsidR="00CD10D8">
        <w:t xml:space="preserve">дифференцированный подход к каждой семье; </w:t>
      </w:r>
    </w:p>
    <w:p w:rsidR="00CD10D8" w:rsidRDefault="00CD10D8" w:rsidP="00CD10D8">
      <w:pPr>
        <w:numPr>
          <w:ilvl w:val="0"/>
          <w:numId w:val="4"/>
        </w:numPr>
        <w:suppressAutoHyphens w:val="0"/>
        <w:spacing w:after="10" w:line="264" w:lineRule="auto"/>
        <w:ind w:right="8" w:hanging="706"/>
        <w:jc w:val="both"/>
      </w:pPr>
      <w:r>
        <w:t xml:space="preserve">ответственность родителей и педагогов. </w:t>
      </w:r>
    </w:p>
    <w:p w:rsidR="00CD10D8" w:rsidRDefault="00CD10D8" w:rsidP="00CD10D8">
      <w:r>
        <w:t>Родительский коллектив – полноправный  участник образовательного процесса ДОУ.</w:t>
      </w:r>
    </w:p>
    <w:p w:rsidR="00CD10D8" w:rsidRDefault="00CD10D8" w:rsidP="00CD10D8">
      <w:pPr>
        <w:suppressAutoHyphens w:val="0"/>
        <w:spacing w:after="10" w:line="264" w:lineRule="auto"/>
        <w:ind w:right="8"/>
        <w:jc w:val="both"/>
      </w:pPr>
    </w:p>
    <w:p w:rsidR="00AF1866" w:rsidRDefault="00DB705C"/>
    <w:sectPr w:rsidR="00AF1866" w:rsidSect="002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9F9"/>
    <w:multiLevelType w:val="hybridMultilevel"/>
    <w:tmpl w:val="95848AC2"/>
    <w:lvl w:ilvl="0" w:tplc="B766687E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330565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BBE0B3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B4805C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661F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5E648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4F8413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91A1F9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3DA2A0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94315C"/>
    <w:multiLevelType w:val="hybridMultilevel"/>
    <w:tmpl w:val="BB005E2A"/>
    <w:lvl w:ilvl="0" w:tplc="CE8EA51A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0005A4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F444B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8A15D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940FB9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AEA3E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98E73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64273E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3ED30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CC36205"/>
    <w:multiLevelType w:val="hybridMultilevel"/>
    <w:tmpl w:val="3EC2236A"/>
    <w:lvl w:ilvl="0" w:tplc="21E0F890">
      <w:start w:val="1"/>
      <w:numFmt w:val="bullet"/>
      <w:lvlText w:val="-"/>
      <w:lvlJc w:val="left"/>
      <w:pPr>
        <w:ind w:left="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F38129E">
      <w:start w:val="1"/>
      <w:numFmt w:val="bullet"/>
      <w:lvlText w:val="o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D20208E">
      <w:start w:val="1"/>
      <w:numFmt w:val="bullet"/>
      <w:lvlText w:val="▪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54619A">
      <w:start w:val="1"/>
      <w:numFmt w:val="bullet"/>
      <w:lvlText w:val="•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763920">
      <w:start w:val="1"/>
      <w:numFmt w:val="bullet"/>
      <w:lvlText w:val="o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2F6A02E">
      <w:start w:val="1"/>
      <w:numFmt w:val="bullet"/>
      <w:lvlText w:val="▪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36E412">
      <w:start w:val="1"/>
      <w:numFmt w:val="bullet"/>
      <w:lvlText w:val="•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372D0B6">
      <w:start w:val="1"/>
      <w:numFmt w:val="bullet"/>
      <w:lvlText w:val="o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45C35D4">
      <w:start w:val="1"/>
      <w:numFmt w:val="bullet"/>
      <w:lvlText w:val="▪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6F21E76"/>
    <w:multiLevelType w:val="hybridMultilevel"/>
    <w:tmpl w:val="7FCC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D8"/>
    <w:rsid w:val="000E43E8"/>
    <w:rsid w:val="001711DA"/>
    <w:rsid w:val="001D0EDD"/>
    <w:rsid w:val="001F1085"/>
    <w:rsid w:val="002779E6"/>
    <w:rsid w:val="002E4B23"/>
    <w:rsid w:val="00340C0D"/>
    <w:rsid w:val="003F4933"/>
    <w:rsid w:val="006F12AA"/>
    <w:rsid w:val="0070725B"/>
    <w:rsid w:val="007A6FDA"/>
    <w:rsid w:val="00A47BF3"/>
    <w:rsid w:val="00A86C4B"/>
    <w:rsid w:val="00BA5BBE"/>
    <w:rsid w:val="00CA2CFC"/>
    <w:rsid w:val="00CC0C83"/>
    <w:rsid w:val="00CD10D8"/>
    <w:rsid w:val="00DB705C"/>
    <w:rsid w:val="00E34E5C"/>
    <w:rsid w:val="00EC766E"/>
    <w:rsid w:val="00F06301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0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D10D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CD10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CD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DZUtQtQoaKncZdyIFa2fJ+OM4j7xVdw0dyivijwh2Ro=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+Nnpdyw41pGzYC/bT1iP1GTAr3AHrIfImFIhhAKUk7g=</DigestValue>
    </Reference>
  </SignedInfo>
  <SignatureValue>Et8xalEGOqzKT4VcAmBFYkDzU+JkSc2b2QR7djU7sggA5WrBKLLroUbhRvwWSlfj
aSF1BwBu2PrrLU+3mDBuSw==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BqYoEXUPsMgi/9wcF2Jacvgah+0=</DigestValue>
      </Reference>
      <Reference URI="/word/fontTable.xml?ContentType=application/vnd.openxmlformats-officedocument.wordprocessingml.fontTable+xml">
        <DigestMethod Algorithm="http://www.w3.org/2000/09/xmldsig#sha1"/>
        <DigestValue>8qO6AxhLPF04SlDg1nISKiKUTpM=</DigestValue>
      </Reference>
      <Reference URI="/word/numbering.xml?ContentType=application/vnd.openxmlformats-officedocument.wordprocessingml.numbering+xml">
        <DigestMethod Algorithm="http://www.w3.org/2000/09/xmldsig#sha1"/>
        <DigestValue>tvC0CBpqdHs2fTgsLKH+7wes9n4=</DigestValue>
      </Reference>
      <Reference URI="/word/settings.xml?ContentType=application/vnd.openxmlformats-officedocument.wordprocessingml.settings+xml">
        <DigestMethod Algorithm="http://www.w3.org/2000/09/xmldsig#sha1"/>
        <DigestValue>sk07oZ41uNOAX8WpsHClnGf4zXU=</DigestValue>
      </Reference>
      <Reference URI="/word/styles.xml?ContentType=application/vnd.openxmlformats-officedocument.wordprocessingml.styles+xml">
        <DigestMethod Algorithm="http://www.w3.org/2000/09/xmldsig#sha1"/>
        <DigestValue>sZRqy+hauxOzP+ULYebIyEsXUOs=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hVsBcYAbEHXcsMgcj8cqvFob2PU=</DigestValue>
      </Reference>
    </Manifest>
    <SignatureProperties>
      <SignatureProperty Id="idSignatureTime" Target="#idPackageSignature">
        <mdssi:SignatureTime>
          <mdssi:Format>YYYY-MM-DDThh:mm:ssTZD</mdssi:Format>
          <mdssi:Value>2021-04-15T05:00:15Z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2021-04-15T05:00:15Z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2021-04-14T13:45:00Z</dcterms:created>
  <dcterms:modified xsi:type="dcterms:W3CDTF">2021-04-15T04:59:00Z</dcterms:modified>
</cp:coreProperties>
</file>